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99" w:rsidRDefault="00A86599" w:rsidP="00E3085B">
      <w:pPr>
        <w:jc w:val="both"/>
      </w:pPr>
    </w:p>
    <w:p w:rsidR="003203A8" w:rsidRDefault="003203A8" w:rsidP="00E3085B">
      <w:pPr>
        <w:jc w:val="both"/>
      </w:pPr>
    </w:p>
    <w:p w:rsidR="003203A8" w:rsidRDefault="003203A8" w:rsidP="00E3085B">
      <w:pPr>
        <w:jc w:val="both"/>
      </w:pPr>
    </w:p>
    <w:p w:rsidR="003203A8" w:rsidRDefault="003203A8" w:rsidP="00E3085B">
      <w:pPr>
        <w:jc w:val="both"/>
      </w:pPr>
    </w:p>
    <w:p w:rsidR="003203A8" w:rsidRDefault="003203A8" w:rsidP="00E3085B">
      <w:pPr>
        <w:jc w:val="both"/>
      </w:pPr>
    </w:p>
    <w:p w:rsidR="003203A8" w:rsidRDefault="003203A8" w:rsidP="00E3085B">
      <w:pPr>
        <w:jc w:val="both"/>
      </w:pPr>
    </w:p>
    <w:p w:rsidR="003203A8" w:rsidRDefault="003203A8" w:rsidP="004C1731">
      <w:pPr>
        <w:spacing w:line="480" w:lineRule="auto"/>
        <w:jc w:val="center"/>
        <w:rPr>
          <w:b/>
        </w:rPr>
      </w:pPr>
      <w:r w:rsidRPr="003203A8">
        <w:rPr>
          <w:b/>
        </w:rPr>
        <w:t>ABSTRAK</w:t>
      </w:r>
    </w:p>
    <w:p w:rsidR="007E48AF" w:rsidRDefault="005F52CB" w:rsidP="005F52CB">
      <w:pPr>
        <w:jc w:val="center"/>
        <w:rPr>
          <w:b/>
        </w:rPr>
      </w:pPr>
      <w:r w:rsidRPr="005F52CB">
        <w:rPr>
          <w:b/>
        </w:rPr>
        <w:t xml:space="preserve">ANALISIS </w:t>
      </w:r>
      <w:r w:rsidRPr="005F52CB">
        <w:rPr>
          <w:b/>
          <w:i/>
        </w:rPr>
        <w:t>BACK-FLASHOVER</w:t>
      </w:r>
      <w:r w:rsidRPr="005F52CB">
        <w:rPr>
          <w:b/>
        </w:rPr>
        <w:t xml:space="preserve"> DENGAN MODEL MENARA </w:t>
      </w:r>
      <w:r w:rsidRPr="005F52CB">
        <w:rPr>
          <w:rFonts w:eastAsiaTheme="minorHAnsi"/>
          <w:b/>
          <w:i/>
          <w:iCs/>
        </w:rPr>
        <w:t xml:space="preserve">CONSTANT-PARAMETER DISTRIBUTED LINE </w:t>
      </w:r>
      <w:r w:rsidRPr="005F52CB">
        <w:rPr>
          <w:rFonts w:eastAsiaTheme="minorHAnsi"/>
          <w:b/>
        </w:rPr>
        <w:t>(</w:t>
      </w:r>
      <w:r w:rsidRPr="005F52CB">
        <w:rPr>
          <w:rFonts w:eastAsiaTheme="minorHAnsi"/>
          <w:b/>
          <w:i/>
          <w:iCs/>
        </w:rPr>
        <w:t>CPDL</w:t>
      </w:r>
      <w:r w:rsidRPr="005F52CB">
        <w:rPr>
          <w:rFonts w:eastAsiaTheme="minorHAnsi"/>
          <w:b/>
        </w:rPr>
        <w:t>)</w:t>
      </w:r>
    </w:p>
    <w:p w:rsidR="005F52CB" w:rsidRPr="005F52CB" w:rsidRDefault="005F52CB" w:rsidP="005F52CB">
      <w:pPr>
        <w:jc w:val="center"/>
        <w:rPr>
          <w:b/>
        </w:rPr>
      </w:pPr>
      <w:r w:rsidRPr="005F52CB">
        <w:rPr>
          <w:b/>
        </w:rPr>
        <w:t>PADA SALURAN TRANSMISI 150 kV</w:t>
      </w:r>
    </w:p>
    <w:p w:rsidR="00A848FB" w:rsidRDefault="005F52CB" w:rsidP="004C1731">
      <w:pPr>
        <w:spacing w:line="480" w:lineRule="auto"/>
        <w:jc w:val="center"/>
        <w:rPr>
          <w:b/>
        </w:rPr>
      </w:pPr>
      <w:r w:rsidRPr="005F52CB">
        <w:rPr>
          <w:b/>
        </w:rPr>
        <w:t>(GI Bukit Kemuning – GI Batu Raja)</w:t>
      </w:r>
    </w:p>
    <w:p w:rsidR="00A848FB" w:rsidRDefault="00A848FB" w:rsidP="00A848FB">
      <w:pPr>
        <w:jc w:val="center"/>
        <w:rPr>
          <w:b/>
        </w:rPr>
      </w:pPr>
    </w:p>
    <w:p w:rsidR="004C1731" w:rsidRDefault="004C1731" w:rsidP="004C1731">
      <w:pPr>
        <w:spacing w:line="480" w:lineRule="auto"/>
        <w:jc w:val="center"/>
        <w:rPr>
          <w:b/>
        </w:rPr>
      </w:pPr>
      <w:r>
        <w:rPr>
          <w:b/>
        </w:rPr>
        <w:t>Oleh</w:t>
      </w:r>
    </w:p>
    <w:p w:rsidR="003203A8" w:rsidRDefault="005F52CB" w:rsidP="000D0B9F">
      <w:pPr>
        <w:spacing w:line="480" w:lineRule="auto"/>
        <w:jc w:val="center"/>
        <w:rPr>
          <w:b/>
        </w:rPr>
      </w:pPr>
      <w:r>
        <w:rPr>
          <w:b/>
        </w:rPr>
        <w:t>Afriando Wirahadi</w:t>
      </w:r>
    </w:p>
    <w:p w:rsidR="0001588F" w:rsidRDefault="0001588F" w:rsidP="000D0B9F">
      <w:pPr>
        <w:spacing w:line="480" w:lineRule="auto"/>
        <w:jc w:val="center"/>
        <w:rPr>
          <w:b/>
        </w:rPr>
      </w:pPr>
    </w:p>
    <w:p w:rsidR="0001588F" w:rsidRPr="0075663F" w:rsidRDefault="0075663F" w:rsidP="00D411CA">
      <w:pPr>
        <w:jc w:val="both"/>
      </w:pPr>
      <w:r w:rsidRPr="0075663F">
        <w:t xml:space="preserve">Fenomena </w:t>
      </w:r>
      <w:r w:rsidRPr="0075663F">
        <w:rPr>
          <w:i/>
        </w:rPr>
        <w:t>back-flashover</w:t>
      </w:r>
      <w:r w:rsidRPr="0075663F">
        <w:t xml:space="preserve"> </w:t>
      </w:r>
      <w:r>
        <w:t xml:space="preserve">merupakan gangguan </w:t>
      </w:r>
      <w:r w:rsidRPr="0075663F">
        <w:t>pada saluran udara tegangan tinggi yang disebabkan oleh sambaran langsung (</w:t>
      </w:r>
      <w:r w:rsidRPr="0075663F">
        <w:rPr>
          <w:i/>
        </w:rPr>
        <w:t>direct stroke</w:t>
      </w:r>
      <w:r w:rsidRPr="0075663F">
        <w:t>) pada kawat tanah</w:t>
      </w:r>
      <w:r w:rsidR="00605D0D">
        <w:t xml:space="preserve"> dan menara</w:t>
      </w:r>
      <w:r>
        <w:t xml:space="preserve">. </w:t>
      </w:r>
      <w:r w:rsidR="00605D0D" w:rsidRPr="0075663F">
        <w:rPr>
          <w:i/>
        </w:rPr>
        <w:t>Back</w:t>
      </w:r>
      <w:r w:rsidRPr="0075663F">
        <w:rPr>
          <w:i/>
        </w:rPr>
        <w:t>-flashover</w:t>
      </w:r>
      <w:r w:rsidRPr="0075663F">
        <w:t xml:space="preserve"> </w:t>
      </w:r>
      <w:r>
        <w:t>akan terjadi bila tegangan pada isolator saluran lebih besar atau sama dengan tegangan kritis lompatan api isolator sehingga lompatan api terjadi pada isolator tersebut.</w:t>
      </w:r>
    </w:p>
    <w:p w:rsidR="00D411CA" w:rsidRPr="00B47515" w:rsidRDefault="00D411CA" w:rsidP="00D411CA">
      <w:pPr>
        <w:jc w:val="both"/>
        <w:rPr>
          <w:color w:val="FF0000"/>
        </w:rPr>
      </w:pPr>
    </w:p>
    <w:p w:rsidR="00DC24C7" w:rsidRDefault="00437AE2" w:rsidP="00D411CA">
      <w:pPr>
        <w:jc w:val="both"/>
        <w:rPr>
          <w:bCs/>
          <w:i/>
        </w:rPr>
      </w:pPr>
      <w:r>
        <w:t xml:space="preserve">Untuk menganalisis fenomena </w:t>
      </w:r>
      <w:r w:rsidRPr="006355A2">
        <w:rPr>
          <w:i/>
        </w:rPr>
        <w:t>back-flashover</w:t>
      </w:r>
      <w:r>
        <w:rPr>
          <w:i/>
        </w:rPr>
        <w:t xml:space="preserve"> </w:t>
      </w:r>
      <w:r>
        <w:t xml:space="preserve">sangat sulit dilakukan dengan metode pengukuran secara langsung, oleh sebab itu dilakukan analisis melalui simulasi dengan memodelkan parameter – parameter pada saluran transmisi, diantaranya model menara, isolator saluran, </w:t>
      </w:r>
      <w:r w:rsidRPr="006C5154">
        <w:rPr>
          <w:bCs/>
        </w:rPr>
        <w:t xml:space="preserve">kawat tanah, kawat fasa, dan sistem </w:t>
      </w:r>
      <w:r>
        <w:rPr>
          <w:bCs/>
        </w:rPr>
        <w:t>pentanahan</w:t>
      </w:r>
      <w:r w:rsidR="00D411CA">
        <w:rPr>
          <w:bCs/>
        </w:rPr>
        <w:t xml:space="preserve"> berdasarkan pemodelan </w:t>
      </w:r>
      <w:r w:rsidR="00D411CA" w:rsidRPr="00D411CA">
        <w:rPr>
          <w:bCs/>
          <w:i/>
        </w:rPr>
        <w:t>IEEE Working Group</w:t>
      </w:r>
      <w:r>
        <w:rPr>
          <w:bCs/>
        </w:rPr>
        <w:t xml:space="preserve">. Pada penelitian ini model parameter – parameter diatas disimulasikan dengan menggunakan perangkat lunak EMTP/ATP versi 2005 dan menggunakan </w:t>
      </w:r>
      <w:r w:rsidR="00DC24C7">
        <w:rPr>
          <w:bCs/>
        </w:rPr>
        <w:t xml:space="preserve">model menara </w:t>
      </w:r>
      <w:r>
        <w:rPr>
          <w:bCs/>
        </w:rPr>
        <w:t xml:space="preserve">yang direkomendasikan di Jepang untuk penelitian surja petir, yaitu menggunakan model menara </w:t>
      </w:r>
      <w:r w:rsidR="00DC24C7" w:rsidRPr="00E86F92">
        <w:rPr>
          <w:bCs/>
          <w:i/>
        </w:rPr>
        <w:t>Consta</w:t>
      </w:r>
      <w:r w:rsidR="00DC24C7">
        <w:rPr>
          <w:bCs/>
          <w:i/>
        </w:rPr>
        <w:t>n</w:t>
      </w:r>
      <w:r w:rsidR="00DC24C7" w:rsidRPr="00E86F92">
        <w:rPr>
          <w:bCs/>
          <w:i/>
        </w:rPr>
        <w:t>t-Parameter Distributed</w:t>
      </w:r>
      <w:r w:rsidR="004C5151">
        <w:rPr>
          <w:bCs/>
          <w:i/>
        </w:rPr>
        <w:t xml:space="preserve"> Line (CPDL)</w:t>
      </w:r>
      <w:r>
        <w:rPr>
          <w:bCs/>
          <w:i/>
        </w:rPr>
        <w:t>.</w:t>
      </w:r>
    </w:p>
    <w:p w:rsidR="00437AE2" w:rsidRDefault="00437AE2" w:rsidP="00D411CA">
      <w:pPr>
        <w:jc w:val="both"/>
      </w:pPr>
    </w:p>
    <w:p w:rsidR="00E564AE" w:rsidRPr="00E564AE" w:rsidRDefault="007E48AF" w:rsidP="00D411CA">
      <w:pPr>
        <w:jc w:val="both"/>
        <w:rPr>
          <w:color w:val="000000"/>
        </w:rPr>
      </w:pPr>
      <w:r>
        <w:t xml:space="preserve">Arus petir minimum yang dapat menyebabkan </w:t>
      </w:r>
      <w:r w:rsidRPr="006355A2">
        <w:rPr>
          <w:i/>
        </w:rPr>
        <w:t>back-flashover</w:t>
      </w:r>
      <w:r>
        <w:t xml:space="preserve"> menggunakan waktu muka dan waktu ekor standar IEEE 1,2 x 50 µs pada fasa A sebesar 20 kA, fasa B sebesar 46 kA dan fasa C sebesar 116 kA. Sedangkan menggunakan standar CIGRE 3 x 77,5 µs pada fasa A sebesar 18 kA, fasa B sebesar 45 kA dan fasa C sebesar 97 kA.</w:t>
      </w:r>
      <w:r w:rsidR="0091303D">
        <w:t xml:space="preserve"> Berdasarkan </w:t>
      </w:r>
      <w:r>
        <w:t>perhitungan hasil simulasi</w:t>
      </w:r>
      <w:r w:rsidRPr="007E48AF">
        <w:rPr>
          <w:color w:val="000000"/>
        </w:rPr>
        <w:t xml:space="preserve"> </w:t>
      </w:r>
      <w:r>
        <w:rPr>
          <w:color w:val="000000"/>
        </w:rPr>
        <w:t xml:space="preserve">jumlah sambaran yang dapat mengakibatkan </w:t>
      </w:r>
      <w:r w:rsidRPr="00F157D7">
        <w:rPr>
          <w:i/>
        </w:rPr>
        <w:t xml:space="preserve">back-flashover </w:t>
      </w:r>
      <w:r>
        <w:t>pada fasa A</w:t>
      </w:r>
      <w:r w:rsidR="00E564AE">
        <w:t xml:space="preserve"> sebanyak </w:t>
      </w:r>
      <w:r w:rsidR="00E564AE" w:rsidRPr="00E564AE">
        <w:rPr>
          <w:color w:val="000000"/>
        </w:rPr>
        <w:t xml:space="preserve">5,98 </w:t>
      </w:r>
      <w:r w:rsidR="00B20551">
        <w:rPr>
          <w:color w:val="000000"/>
        </w:rPr>
        <w:t>sambaran</w:t>
      </w:r>
      <w:r w:rsidR="00E564AE" w:rsidRPr="00E564AE">
        <w:rPr>
          <w:color w:val="000000"/>
        </w:rPr>
        <w:t xml:space="preserve"> per 191,788 km/tahun</w:t>
      </w:r>
      <w:r w:rsidR="00E564AE">
        <w:rPr>
          <w:color w:val="000000"/>
        </w:rPr>
        <w:t xml:space="preserve">, fasa B sebanyak 2,058 </w:t>
      </w:r>
      <w:r w:rsidR="003157C0">
        <w:rPr>
          <w:color w:val="000000"/>
        </w:rPr>
        <w:t>sambaran</w:t>
      </w:r>
      <w:r w:rsidR="00E564AE">
        <w:rPr>
          <w:color w:val="000000"/>
        </w:rPr>
        <w:t xml:space="preserve"> per 191,788 km/tahun dan fasa C sebanyak 0,33 </w:t>
      </w:r>
      <w:r w:rsidR="003157C0">
        <w:rPr>
          <w:color w:val="000000"/>
        </w:rPr>
        <w:t>sambaran</w:t>
      </w:r>
      <w:r w:rsidR="00E564AE">
        <w:rPr>
          <w:color w:val="000000"/>
        </w:rPr>
        <w:t xml:space="preserve"> per 191,788 km/tahun.</w:t>
      </w:r>
    </w:p>
    <w:p w:rsidR="00DB5843" w:rsidRDefault="00DB5843" w:rsidP="00602260">
      <w:pPr>
        <w:jc w:val="both"/>
      </w:pPr>
    </w:p>
    <w:p w:rsidR="000D1EF2" w:rsidRDefault="000D1EF2" w:rsidP="00602260">
      <w:pPr>
        <w:jc w:val="both"/>
        <w:rPr>
          <w:bCs/>
        </w:rPr>
      </w:pPr>
      <w:r>
        <w:t>Kata kunci:</w:t>
      </w:r>
      <w:r w:rsidR="00225273">
        <w:t xml:space="preserve"> </w:t>
      </w:r>
      <w:r w:rsidR="00E564AE" w:rsidRPr="00F157D7">
        <w:rPr>
          <w:i/>
        </w:rPr>
        <w:t>back-flashover</w:t>
      </w:r>
      <w:r w:rsidR="00225273">
        <w:t xml:space="preserve">, </w:t>
      </w:r>
      <w:r w:rsidR="00867A3C">
        <w:t>petir</w:t>
      </w:r>
      <w:r w:rsidR="003E116A">
        <w:t>,</w:t>
      </w:r>
      <w:r w:rsidR="00225273">
        <w:t xml:space="preserve"> </w:t>
      </w:r>
      <w:r w:rsidR="00867A3C">
        <w:rPr>
          <w:bCs/>
        </w:rPr>
        <w:t>EMTP/ATP</w:t>
      </w:r>
    </w:p>
    <w:p w:rsidR="006A19E7" w:rsidRDefault="006A19E7" w:rsidP="006A19E7">
      <w:pPr>
        <w:jc w:val="both"/>
      </w:pPr>
    </w:p>
    <w:p w:rsidR="006A19E7" w:rsidRDefault="006A19E7" w:rsidP="006A19E7">
      <w:pPr>
        <w:jc w:val="both"/>
      </w:pPr>
    </w:p>
    <w:p w:rsidR="006A19E7" w:rsidRDefault="006A19E7" w:rsidP="006A19E7">
      <w:pPr>
        <w:jc w:val="both"/>
      </w:pPr>
    </w:p>
    <w:p w:rsidR="0054684D" w:rsidRDefault="0054684D" w:rsidP="006A19E7">
      <w:pPr>
        <w:jc w:val="both"/>
      </w:pPr>
    </w:p>
    <w:p w:rsidR="00A848FB" w:rsidRDefault="00A848FB" w:rsidP="006A19E7">
      <w:pPr>
        <w:jc w:val="both"/>
      </w:pPr>
    </w:p>
    <w:p w:rsidR="00A848FB" w:rsidRDefault="00A848FB" w:rsidP="006A19E7">
      <w:pPr>
        <w:jc w:val="both"/>
      </w:pPr>
    </w:p>
    <w:p w:rsidR="006A19E7" w:rsidRDefault="006A19E7" w:rsidP="006A19E7">
      <w:pPr>
        <w:jc w:val="both"/>
      </w:pPr>
    </w:p>
    <w:p w:rsidR="006A19E7" w:rsidRDefault="006A19E7" w:rsidP="006A19E7">
      <w:pPr>
        <w:jc w:val="both"/>
      </w:pPr>
    </w:p>
    <w:p w:rsidR="006A19E7" w:rsidRDefault="006A19E7" w:rsidP="006A19E7">
      <w:pPr>
        <w:spacing w:line="480" w:lineRule="auto"/>
        <w:jc w:val="center"/>
        <w:rPr>
          <w:b/>
        </w:rPr>
      </w:pPr>
      <w:r w:rsidRPr="003203A8">
        <w:rPr>
          <w:b/>
        </w:rPr>
        <w:t>ABSTRA</w:t>
      </w:r>
      <w:r>
        <w:rPr>
          <w:b/>
        </w:rPr>
        <w:t>CT</w:t>
      </w:r>
    </w:p>
    <w:p w:rsidR="006A19E7" w:rsidRPr="006A19E7" w:rsidRDefault="006A19E7" w:rsidP="006A19E7">
      <w:pPr>
        <w:jc w:val="center"/>
        <w:rPr>
          <w:b/>
        </w:rPr>
      </w:pPr>
      <w:r w:rsidRPr="006A19E7">
        <w:rPr>
          <w:b/>
        </w:rPr>
        <w:t xml:space="preserve">BACK-FLASHOVER ANALYSIS USING </w:t>
      </w:r>
      <w:r w:rsidRPr="006A19E7">
        <w:rPr>
          <w:rFonts w:eastAsiaTheme="minorHAnsi"/>
          <w:b/>
          <w:iCs/>
        </w:rPr>
        <w:t xml:space="preserve">CONSTANT-PARAMETER DISTRIBUTED LINE </w:t>
      </w:r>
      <w:r w:rsidRPr="006A19E7">
        <w:rPr>
          <w:rFonts w:eastAsiaTheme="minorHAnsi"/>
          <w:b/>
        </w:rPr>
        <w:t>(</w:t>
      </w:r>
      <w:r w:rsidRPr="006A19E7">
        <w:rPr>
          <w:rFonts w:eastAsiaTheme="minorHAnsi"/>
          <w:b/>
          <w:iCs/>
        </w:rPr>
        <w:t>CPDL</w:t>
      </w:r>
      <w:r w:rsidRPr="006A19E7">
        <w:rPr>
          <w:rFonts w:eastAsiaTheme="minorHAnsi"/>
          <w:b/>
        </w:rPr>
        <w:t>) TOWER MODEL</w:t>
      </w:r>
    </w:p>
    <w:p w:rsidR="006A19E7" w:rsidRPr="006A19E7" w:rsidRDefault="006A19E7" w:rsidP="006A19E7">
      <w:pPr>
        <w:jc w:val="center"/>
        <w:rPr>
          <w:b/>
        </w:rPr>
      </w:pPr>
      <w:r w:rsidRPr="006A19E7">
        <w:rPr>
          <w:b/>
        </w:rPr>
        <w:t>OF 150 kV TRANSMISSION LINE</w:t>
      </w:r>
    </w:p>
    <w:p w:rsidR="006A19E7" w:rsidRDefault="006A19E7" w:rsidP="006A19E7">
      <w:pPr>
        <w:spacing w:line="480" w:lineRule="auto"/>
        <w:jc w:val="center"/>
        <w:rPr>
          <w:b/>
        </w:rPr>
      </w:pPr>
      <w:r w:rsidRPr="005F52CB">
        <w:rPr>
          <w:b/>
        </w:rPr>
        <w:t xml:space="preserve">(Bukit Kemuning </w:t>
      </w:r>
      <w:r>
        <w:rPr>
          <w:b/>
        </w:rPr>
        <w:t>Substation</w:t>
      </w:r>
      <w:r w:rsidRPr="005F52CB">
        <w:rPr>
          <w:b/>
        </w:rPr>
        <w:t>–Batu Raja</w:t>
      </w:r>
      <w:r w:rsidRPr="006A19E7">
        <w:rPr>
          <w:b/>
        </w:rPr>
        <w:t xml:space="preserve"> </w:t>
      </w:r>
      <w:r>
        <w:rPr>
          <w:b/>
        </w:rPr>
        <w:t>Substation</w:t>
      </w:r>
      <w:r w:rsidRPr="005F52CB">
        <w:rPr>
          <w:b/>
        </w:rPr>
        <w:t>)</w:t>
      </w:r>
    </w:p>
    <w:p w:rsidR="00A848FB" w:rsidRPr="005F52CB" w:rsidRDefault="00A848FB" w:rsidP="00A848FB">
      <w:pPr>
        <w:jc w:val="center"/>
        <w:rPr>
          <w:b/>
        </w:rPr>
      </w:pPr>
    </w:p>
    <w:p w:rsidR="006A19E7" w:rsidRDefault="006A19E7" w:rsidP="006A19E7">
      <w:pPr>
        <w:spacing w:line="480" w:lineRule="auto"/>
        <w:jc w:val="center"/>
        <w:rPr>
          <w:b/>
        </w:rPr>
      </w:pPr>
      <w:r>
        <w:rPr>
          <w:b/>
        </w:rPr>
        <w:t>By</w:t>
      </w:r>
    </w:p>
    <w:p w:rsidR="006A19E7" w:rsidRDefault="006A19E7" w:rsidP="006A19E7">
      <w:pPr>
        <w:spacing w:line="480" w:lineRule="auto"/>
        <w:jc w:val="center"/>
        <w:rPr>
          <w:b/>
        </w:rPr>
      </w:pPr>
      <w:r>
        <w:rPr>
          <w:b/>
        </w:rPr>
        <w:t>Afriando Wirahadi</w:t>
      </w:r>
    </w:p>
    <w:p w:rsidR="00436685" w:rsidRDefault="00436685" w:rsidP="006A19E7">
      <w:pPr>
        <w:spacing w:line="480" w:lineRule="auto"/>
        <w:jc w:val="center"/>
        <w:rPr>
          <w:b/>
        </w:rPr>
      </w:pPr>
    </w:p>
    <w:p w:rsidR="00A2080D" w:rsidRDefault="00A2080D" w:rsidP="00A2080D">
      <w:pPr>
        <w:jc w:val="both"/>
      </w:pPr>
      <w:r>
        <w:t>Back-flashover phenomenon is disturbances on the overhead transmission lines which caused by direct stroke on the ground wire and tower</w:t>
      </w:r>
      <w:r w:rsidR="00500E31">
        <w:t>s</w:t>
      </w:r>
      <w:r>
        <w:t xml:space="preserve">. Back-flashover will be occures in which voltage </w:t>
      </w:r>
      <w:r w:rsidR="00547D91">
        <w:t xml:space="preserve">higher or same with </w:t>
      </w:r>
      <w:r>
        <w:t xml:space="preserve">the </w:t>
      </w:r>
      <w:r w:rsidR="006314B7">
        <w:t xml:space="preserve">Insulator </w:t>
      </w:r>
      <w:r>
        <w:t>Critical Flashover, the flashover happens on that insulator.</w:t>
      </w:r>
    </w:p>
    <w:p w:rsidR="00A2080D" w:rsidRDefault="00A2080D" w:rsidP="00A2080D">
      <w:pPr>
        <w:jc w:val="both"/>
      </w:pPr>
    </w:p>
    <w:p w:rsidR="00A2080D" w:rsidRDefault="00A2080D" w:rsidP="00A2080D">
      <w:pPr>
        <w:jc w:val="both"/>
      </w:pPr>
      <w:r>
        <w:t xml:space="preserve">It is very difficult to back-flashover analisys which direct measuring methode, that is reason to analyze with simulation by modelling the parameters on the transmission lines such as, tower model, insulator model, grond wire, phase wire and grounding system based on IEEE Working Group model. </w:t>
      </w:r>
      <w:r w:rsidRPr="00A2080D">
        <w:t xml:space="preserve">In this research the parameters model that simulated by using EMTP/ATP Software 2005 version and using using tower model which recommended in Japan for lighting surge analysis, it </w:t>
      </w:r>
      <w:r w:rsidR="004A55DF">
        <w:t xml:space="preserve">is </w:t>
      </w:r>
      <w:r w:rsidRPr="00A2080D">
        <w:t xml:space="preserve">using </w:t>
      </w:r>
      <w:r w:rsidRPr="00A2080D">
        <w:rPr>
          <w:rFonts w:eastAsiaTheme="minorHAnsi"/>
          <w:iCs/>
        </w:rPr>
        <w:t xml:space="preserve">Constant-Parameter Distributed Line </w:t>
      </w:r>
      <w:r w:rsidRPr="00A2080D">
        <w:rPr>
          <w:rFonts w:eastAsiaTheme="minorHAnsi"/>
        </w:rPr>
        <w:t>(</w:t>
      </w:r>
      <w:r w:rsidRPr="00A2080D">
        <w:rPr>
          <w:rFonts w:eastAsiaTheme="minorHAnsi"/>
          <w:iCs/>
        </w:rPr>
        <w:t>CPDL</w:t>
      </w:r>
      <w:r w:rsidRPr="00A2080D">
        <w:rPr>
          <w:rFonts w:eastAsiaTheme="minorHAnsi"/>
        </w:rPr>
        <w:t>)</w:t>
      </w:r>
      <w:r>
        <w:rPr>
          <w:rFonts w:eastAsiaTheme="minorHAnsi"/>
        </w:rPr>
        <w:t xml:space="preserve"> tower model</w:t>
      </w:r>
    </w:p>
    <w:p w:rsidR="00436685" w:rsidRDefault="00436685" w:rsidP="00436685">
      <w:pPr>
        <w:jc w:val="both"/>
      </w:pPr>
    </w:p>
    <w:p w:rsidR="006A19E7" w:rsidRDefault="00436685" w:rsidP="00436685">
      <w:pPr>
        <w:jc w:val="both"/>
      </w:pPr>
      <w:r>
        <w:t xml:space="preserve">Minimum lightning current that can cause back-flashover using front time and tail time of the IEEE standard 1,2 x 50 μs on phase A of 20 kA, phase B of 46 kA and phase C of 116 kA. </w:t>
      </w:r>
      <w:r w:rsidR="00062C40">
        <w:t>While</w:t>
      </w:r>
      <w:r w:rsidR="00A726D4">
        <w:t xml:space="preserve"> </w:t>
      </w:r>
      <w:r>
        <w:t xml:space="preserve">using front time and tail time of the CIGRE standard </w:t>
      </w:r>
      <w:r w:rsidR="004A55DF">
        <w:t xml:space="preserve">   </w:t>
      </w:r>
      <w:r>
        <w:t>3 x 77,5 μs on phase A of 18 kA, phase B of 45 kA and phase C of 97 kA</w:t>
      </w:r>
      <w:r w:rsidR="004A55DF">
        <w:t>.</w:t>
      </w:r>
      <w:r>
        <w:t xml:space="preserve"> Based on the calculation results of the simulation the number of strokes that can cause back-flashover on phase A of 5.98 </w:t>
      </w:r>
      <w:r w:rsidR="00323BC8">
        <w:t xml:space="preserve">strokes </w:t>
      </w:r>
      <w:r w:rsidR="00E80FCA">
        <w:t>per 191.788 km/</w:t>
      </w:r>
      <w:r>
        <w:t xml:space="preserve">year, phase B </w:t>
      </w:r>
      <w:r w:rsidR="00323BC8">
        <w:t>strokes</w:t>
      </w:r>
      <w:r w:rsidR="00E80FCA">
        <w:t xml:space="preserve"> per 191.788 2.058 km/</w:t>
      </w:r>
      <w:r>
        <w:t xml:space="preserve">year, and phase C of 0.33 </w:t>
      </w:r>
      <w:r w:rsidR="00E80FCA">
        <w:t>strokes  per 191.788 km/</w:t>
      </w:r>
      <w:r>
        <w:t>year.</w:t>
      </w:r>
    </w:p>
    <w:p w:rsidR="00D32AB3" w:rsidRDefault="00D32AB3" w:rsidP="00436685">
      <w:pPr>
        <w:jc w:val="both"/>
      </w:pPr>
    </w:p>
    <w:p w:rsidR="00D32AB3" w:rsidRDefault="00D32AB3" w:rsidP="00436685">
      <w:pPr>
        <w:jc w:val="both"/>
        <w:rPr>
          <w:b/>
        </w:rPr>
      </w:pPr>
      <w:r>
        <w:t xml:space="preserve">Keyword : </w:t>
      </w:r>
      <w:r w:rsidRPr="00875008">
        <w:t>back-flashover</w:t>
      </w:r>
      <w:r>
        <w:t xml:space="preserve">, Lighting, </w:t>
      </w:r>
      <w:r>
        <w:rPr>
          <w:bCs/>
        </w:rPr>
        <w:t>EMTP/ATP</w:t>
      </w:r>
    </w:p>
    <w:sectPr w:rsidR="00D32AB3" w:rsidSect="003203A8">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8E6" w:rsidRDefault="007D48E6">
      <w:r>
        <w:separator/>
      </w:r>
    </w:p>
  </w:endnote>
  <w:endnote w:type="continuationSeparator" w:id="1">
    <w:p w:rsidR="007D48E6" w:rsidRDefault="007D4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8E6" w:rsidRDefault="007D48E6">
      <w:r>
        <w:separator/>
      </w:r>
    </w:p>
  </w:footnote>
  <w:footnote w:type="continuationSeparator" w:id="1">
    <w:p w:rsidR="007D48E6" w:rsidRDefault="007D48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D4361F"/>
    <w:rsid w:val="00000D1B"/>
    <w:rsid w:val="00011385"/>
    <w:rsid w:val="0001588F"/>
    <w:rsid w:val="00026A55"/>
    <w:rsid w:val="00062C40"/>
    <w:rsid w:val="00074373"/>
    <w:rsid w:val="000A67CB"/>
    <w:rsid w:val="000B02D6"/>
    <w:rsid w:val="000D0B9F"/>
    <w:rsid w:val="000D1EF2"/>
    <w:rsid w:val="00134D0C"/>
    <w:rsid w:val="001714E0"/>
    <w:rsid w:val="00180DB2"/>
    <w:rsid w:val="001A3177"/>
    <w:rsid w:val="001C0DE2"/>
    <w:rsid w:val="001C204F"/>
    <w:rsid w:val="00225273"/>
    <w:rsid w:val="00255B1E"/>
    <w:rsid w:val="002B17AA"/>
    <w:rsid w:val="002B1A89"/>
    <w:rsid w:val="002C113B"/>
    <w:rsid w:val="002C2DA0"/>
    <w:rsid w:val="002D103E"/>
    <w:rsid w:val="002E2019"/>
    <w:rsid w:val="002F7ED8"/>
    <w:rsid w:val="003157C0"/>
    <w:rsid w:val="003203A8"/>
    <w:rsid w:val="00322389"/>
    <w:rsid w:val="00323BC8"/>
    <w:rsid w:val="00376A37"/>
    <w:rsid w:val="003A0F6D"/>
    <w:rsid w:val="003C02EB"/>
    <w:rsid w:val="003E116A"/>
    <w:rsid w:val="003E5A14"/>
    <w:rsid w:val="00425102"/>
    <w:rsid w:val="00436685"/>
    <w:rsid w:val="00437AE2"/>
    <w:rsid w:val="0045239C"/>
    <w:rsid w:val="004750A8"/>
    <w:rsid w:val="00477E77"/>
    <w:rsid w:val="00482653"/>
    <w:rsid w:val="004A55DF"/>
    <w:rsid w:val="004A66BF"/>
    <w:rsid w:val="004B6B2B"/>
    <w:rsid w:val="004C1731"/>
    <w:rsid w:val="004C5151"/>
    <w:rsid w:val="004C551D"/>
    <w:rsid w:val="00500E31"/>
    <w:rsid w:val="00501050"/>
    <w:rsid w:val="005079A0"/>
    <w:rsid w:val="005116A8"/>
    <w:rsid w:val="00511BBF"/>
    <w:rsid w:val="0052336A"/>
    <w:rsid w:val="00545BF6"/>
    <w:rsid w:val="0054684D"/>
    <w:rsid w:val="00547D91"/>
    <w:rsid w:val="005D4E4D"/>
    <w:rsid w:val="005F52CB"/>
    <w:rsid w:val="00602260"/>
    <w:rsid w:val="00605D0D"/>
    <w:rsid w:val="0063068E"/>
    <w:rsid w:val="006314B7"/>
    <w:rsid w:val="006A19E7"/>
    <w:rsid w:val="006B44B9"/>
    <w:rsid w:val="00712814"/>
    <w:rsid w:val="00713961"/>
    <w:rsid w:val="0072342A"/>
    <w:rsid w:val="00737D77"/>
    <w:rsid w:val="0075663F"/>
    <w:rsid w:val="00771305"/>
    <w:rsid w:val="007769B9"/>
    <w:rsid w:val="007A480C"/>
    <w:rsid w:val="007B4C1E"/>
    <w:rsid w:val="007D48E6"/>
    <w:rsid w:val="007E1254"/>
    <w:rsid w:val="007E48AF"/>
    <w:rsid w:val="00804A79"/>
    <w:rsid w:val="00812ECA"/>
    <w:rsid w:val="00867A3C"/>
    <w:rsid w:val="00875008"/>
    <w:rsid w:val="008A1726"/>
    <w:rsid w:val="008F1399"/>
    <w:rsid w:val="00910AE9"/>
    <w:rsid w:val="0091303D"/>
    <w:rsid w:val="00923EA8"/>
    <w:rsid w:val="009532AC"/>
    <w:rsid w:val="009D1CE3"/>
    <w:rsid w:val="009F5930"/>
    <w:rsid w:val="00A01684"/>
    <w:rsid w:val="00A02C6E"/>
    <w:rsid w:val="00A02F53"/>
    <w:rsid w:val="00A2080D"/>
    <w:rsid w:val="00A726D4"/>
    <w:rsid w:val="00A77002"/>
    <w:rsid w:val="00A842FE"/>
    <w:rsid w:val="00A848FB"/>
    <w:rsid w:val="00A86599"/>
    <w:rsid w:val="00A971E3"/>
    <w:rsid w:val="00AB477F"/>
    <w:rsid w:val="00B20551"/>
    <w:rsid w:val="00B40E64"/>
    <w:rsid w:val="00B47515"/>
    <w:rsid w:val="00B55B58"/>
    <w:rsid w:val="00B71F98"/>
    <w:rsid w:val="00B85839"/>
    <w:rsid w:val="00B93C3F"/>
    <w:rsid w:val="00BE1BF5"/>
    <w:rsid w:val="00BE719D"/>
    <w:rsid w:val="00C0296F"/>
    <w:rsid w:val="00C05734"/>
    <w:rsid w:val="00C22079"/>
    <w:rsid w:val="00C35247"/>
    <w:rsid w:val="00C92C03"/>
    <w:rsid w:val="00C95566"/>
    <w:rsid w:val="00CA4976"/>
    <w:rsid w:val="00CD087B"/>
    <w:rsid w:val="00D04CF4"/>
    <w:rsid w:val="00D10180"/>
    <w:rsid w:val="00D32AB3"/>
    <w:rsid w:val="00D411CA"/>
    <w:rsid w:val="00D41FC7"/>
    <w:rsid w:val="00D4361F"/>
    <w:rsid w:val="00D719CA"/>
    <w:rsid w:val="00DB5843"/>
    <w:rsid w:val="00DC24C7"/>
    <w:rsid w:val="00DE4B38"/>
    <w:rsid w:val="00E3085B"/>
    <w:rsid w:val="00E5449F"/>
    <w:rsid w:val="00E54B10"/>
    <w:rsid w:val="00E564AE"/>
    <w:rsid w:val="00E80FCA"/>
    <w:rsid w:val="00E87BF9"/>
    <w:rsid w:val="00EE27E0"/>
    <w:rsid w:val="00F21EE9"/>
    <w:rsid w:val="00F31D5D"/>
    <w:rsid w:val="00F32AE9"/>
    <w:rsid w:val="00F76B79"/>
    <w:rsid w:val="00F84F75"/>
    <w:rsid w:val="00F949BF"/>
    <w:rsid w:val="00F97B91"/>
    <w:rsid w:val="00FA61C1"/>
    <w:rsid w:val="00FE463A"/>
    <w:rsid w:val="00FE59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AE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116A8"/>
    <w:rPr>
      <w:sz w:val="20"/>
      <w:szCs w:val="20"/>
      <w:lang w:val="en-US"/>
    </w:rPr>
  </w:style>
  <w:style w:type="character" w:styleId="FootnoteReference">
    <w:name w:val="footnote reference"/>
    <w:basedOn w:val="DefaultParagraphFont"/>
    <w:semiHidden/>
    <w:rsid w:val="005116A8"/>
    <w:rPr>
      <w:vertAlign w:val="superscript"/>
    </w:rPr>
  </w:style>
  <w:style w:type="paragraph" w:styleId="ListParagraph">
    <w:name w:val="List Paragraph"/>
    <w:basedOn w:val="Normal"/>
    <w:uiPriority w:val="34"/>
    <w:qFormat/>
    <w:rsid w:val="00E564AE"/>
    <w:pPr>
      <w:ind w:left="720"/>
      <w:contextualSpacing/>
    </w:pPr>
    <w:rPr>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ABSTRAK</vt:lpstr>
    </vt:vector>
  </TitlesOfParts>
  <Company>unila</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Lab_TTTmhs</dc:creator>
  <cp:lastModifiedBy>toshiba</cp:lastModifiedBy>
  <cp:revision>15</cp:revision>
  <cp:lastPrinted>2010-05-29T13:22:00Z</cp:lastPrinted>
  <dcterms:created xsi:type="dcterms:W3CDTF">2010-05-23T18:43:00Z</dcterms:created>
  <dcterms:modified xsi:type="dcterms:W3CDTF">2010-05-29T13:25:00Z</dcterms:modified>
</cp:coreProperties>
</file>